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8EE" w:rsidRPr="00EB71B0" w:rsidRDefault="006E5ECA" w:rsidP="003068EE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52</w:t>
      </w:r>
      <w:r w:rsidR="003068EE" w:rsidRPr="0088525E">
        <w:rPr>
          <w:sz w:val="26"/>
          <w:szCs w:val="26"/>
        </w:rPr>
        <w:t>/Д</w:t>
      </w:r>
    </w:p>
    <w:p w:rsidR="003068EE" w:rsidRDefault="003068EE" w:rsidP="003068EE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>на проект решения Думы города Пыть-Яха «О</w:t>
      </w:r>
      <w:r>
        <w:rPr>
          <w:sz w:val="26"/>
          <w:szCs w:val="26"/>
        </w:rPr>
        <w:t xml:space="preserve">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</w:t>
      </w:r>
    </w:p>
    <w:p w:rsidR="003068EE" w:rsidRDefault="003068EE" w:rsidP="003068EE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ред. от 16.12.2016 № 47, от 29.06.2018 № 174, от 26.12.2019 № 297)</w:t>
      </w:r>
    </w:p>
    <w:p w:rsidR="003068EE" w:rsidRPr="00EB71B0" w:rsidRDefault="003068EE" w:rsidP="003068EE">
      <w:pPr>
        <w:jc w:val="center"/>
        <w:rPr>
          <w:sz w:val="26"/>
          <w:szCs w:val="26"/>
        </w:rPr>
      </w:pPr>
    </w:p>
    <w:p w:rsidR="003068EE" w:rsidRPr="00BC4898" w:rsidRDefault="003068EE" w:rsidP="003068EE">
      <w:pPr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г. </w:t>
      </w:r>
      <w:r w:rsidRPr="00D64242">
        <w:rPr>
          <w:sz w:val="26"/>
          <w:szCs w:val="26"/>
        </w:rPr>
        <w:t>Пыть-</w:t>
      </w:r>
      <w:r w:rsidRPr="00BC4898">
        <w:rPr>
          <w:sz w:val="26"/>
          <w:szCs w:val="26"/>
        </w:rPr>
        <w:t xml:space="preserve">Ях   </w:t>
      </w:r>
      <w:r>
        <w:rPr>
          <w:sz w:val="26"/>
          <w:szCs w:val="26"/>
        </w:rPr>
        <w:t xml:space="preserve">   </w:t>
      </w:r>
      <w:r w:rsidRPr="00BC4898">
        <w:rPr>
          <w:sz w:val="26"/>
          <w:szCs w:val="26"/>
        </w:rPr>
        <w:t xml:space="preserve">        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BC4898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</w:t>
      </w:r>
      <w:r w:rsidR="00D937C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2</w:t>
      </w:r>
      <w:r w:rsidR="00E86142">
        <w:rPr>
          <w:sz w:val="26"/>
          <w:szCs w:val="26"/>
        </w:rPr>
        <w:t>0</w:t>
      </w:r>
      <w:r>
        <w:rPr>
          <w:sz w:val="26"/>
          <w:szCs w:val="26"/>
        </w:rPr>
        <w:t>.12.2021</w:t>
      </w:r>
    </w:p>
    <w:p w:rsidR="003068EE" w:rsidRPr="00BC4898" w:rsidRDefault="003068EE" w:rsidP="003068EE">
      <w:pPr>
        <w:jc w:val="both"/>
        <w:rPr>
          <w:sz w:val="26"/>
          <w:szCs w:val="26"/>
        </w:rPr>
      </w:pPr>
    </w:p>
    <w:p w:rsidR="003068EE" w:rsidRPr="00EB71B0" w:rsidRDefault="003068EE" w:rsidP="00076E12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175197">
        <w:rPr>
          <w:sz w:val="26"/>
          <w:szCs w:val="26"/>
        </w:rPr>
        <w:t>Счетно-контрольной палатой г. Пыть-Яха на основании п. 3.1 раздела 3 Плана работы Счетно-контрольн</w:t>
      </w:r>
      <w:r w:rsidR="00826D5F">
        <w:rPr>
          <w:sz w:val="26"/>
          <w:szCs w:val="26"/>
        </w:rPr>
        <w:t>ой палаты города Пыть-Яха на 2021</w:t>
      </w:r>
      <w:r w:rsidRPr="00175197">
        <w:rPr>
          <w:sz w:val="26"/>
          <w:szCs w:val="26"/>
        </w:rPr>
        <w:t xml:space="preserve"> год,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</w:t>
      </w:r>
      <w:bookmarkStart w:id="0" w:name="_GoBack"/>
      <w:bookmarkEnd w:id="0"/>
      <w:r w:rsidRPr="00175197">
        <w:rPr>
          <w:sz w:val="26"/>
          <w:szCs w:val="26"/>
        </w:rPr>
        <w:t xml:space="preserve">палате города Пыть-Яха, утвержденного решением Думы города Пыть-Яха от 29.11.2016 № 34,  проведена </w:t>
      </w:r>
      <w:r w:rsidR="00AB2611">
        <w:rPr>
          <w:sz w:val="26"/>
          <w:szCs w:val="26"/>
        </w:rPr>
        <w:t xml:space="preserve">повторная </w:t>
      </w:r>
      <w:r w:rsidRPr="00175197">
        <w:rPr>
          <w:sz w:val="26"/>
          <w:szCs w:val="26"/>
        </w:rPr>
        <w:t xml:space="preserve">экспертиза проекта решения Думы города Пыть-Яха </w:t>
      </w:r>
      <w:r w:rsidR="00076E12" w:rsidRPr="00076E12">
        <w:rPr>
          <w:sz w:val="26"/>
          <w:szCs w:val="26"/>
        </w:rPr>
        <w:t>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</w:t>
      </w:r>
      <w:r w:rsidR="00076E12">
        <w:rPr>
          <w:sz w:val="26"/>
          <w:szCs w:val="26"/>
        </w:rPr>
        <w:t xml:space="preserve"> </w:t>
      </w:r>
      <w:r w:rsidR="00076E12" w:rsidRPr="00076E12">
        <w:rPr>
          <w:sz w:val="26"/>
          <w:szCs w:val="26"/>
        </w:rPr>
        <w:t>(в ред. от 16.12.2016 № 47, от 29.06.2018 № 174, от 26.12.2019 № 297)</w:t>
      </w:r>
      <w:r w:rsidRPr="00175197">
        <w:rPr>
          <w:sz w:val="26"/>
          <w:szCs w:val="26"/>
        </w:rPr>
        <w:t xml:space="preserve"> (далее – проект решения) на соответствие  действующему законодательству.</w:t>
      </w:r>
    </w:p>
    <w:p w:rsidR="003068EE" w:rsidRPr="000F0E06" w:rsidRDefault="003068EE" w:rsidP="003068EE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068EE" w:rsidRPr="000F0E06" w:rsidRDefault="003068EE" w:rsidP="003068EE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Федеральный закон от 15.12.2001 № 166-ФЗ «О государственном пенсионном обеспечении в Российской Федерации» (далее -  Федеральный закон от 15.12.2001</w:t>
      </w:r>
      <w:r>
        <w:rPr>
          <w:sz w:val="26"/>
          <w:szCs w:val="26"/>
        </w:rPr>
        <w:t xml:space="preserve">                        </w:t>
      </w:r>
      <w:r w:rsidRPr="000F0E06">
        <w:rPr>
          <w:sz w:val="26"/>
          <w:szCs w:val="26"/>
        </w:rPr>
        <w:t xml:space="preserve"> № 166-ФЗ); </w:t>
      </w:r>
    </w:p>
    <w:p w:rsidR="003068EE" w:rsidRPr="000F0E06" w:rsidRDefault="003068EE" w:rsidP="003068EE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3068EE" w:rsidRPr="000F0E06" w:rsidRDefault="008621FC" w:rsidP="003068EE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hyperlink r:id="rId7" w:history="1">
        <w:r w:rsidR="003068EE" w:rsidRPr="000F0E06">
          <w:rPr>
            <w:sz w:val="26"/>
            <w:szCs w:val="26"/>
          </w:rPr>
          <w:t>Федеральный закон от 02.03.2007 № 25-ФЗ «О муниципальной службе в Российской Федерации»</w:t>
        </w:r>
      </w:hyperlink>
      <w:r w:rsidR="003068EE" w:rsidRPr="000F0E06">
        <w:rPr>
          <w:color w:val="0000FF"/>
          <w:sz w:val="26"/>
          <w:szCs w:val="26"/>
        </w:rPr>
        <w:t xml:space="preserve"> </w:t>
      </w:r>
      <w:r w:rsidR="003068EE" w:rsidRPr="000F0E06">
        <w:rPr>
          <w:sz w:val="26"/>
          <w:szCs w:val="26"/>
        </w:rPr>
        <w:t>(</w:t>
      </w:r>
      <w:r w:rsidR="003068EE">
        <w:rPr>
          <w:sz w:val="26"/>
          <w:szCs w:val="26"/>
        </w:rPr>
        <w:t xml:space="preserve">далее - </w:t>
      </w:r>
      <w:r w:rsidR="003068EE" w:rsidRPr="000F0E06">
        <w:rPr>
          <w:sz w:val="26"/>
          <w:szCs w:val="26"/>
        </w:rPr>
        <w:t xml:space="preserve">Федеральный закон от 02.03.2007 № 25-ФЗ); </w:t>
      </w:r>
    </w:p>
    <w:p w:rsidR="003068EE" w:rsidRPr="00076E12" w:rsidRDefault="00076E12" w:rsidP="00076E12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076E12">
        <w:rPr>
          <w:sz w:val="26"/>
          <w:szCs w:val="26"/>
        </w:rPr>
        <w:t xml:space="preserve">Закон Ханты-Мансийского АО - Югры от 28.12.2007 № 201-оз </w:t>
      </w:r>
      <w:r>
        <w:rPr>
          <w:sz w:val="26"/>
          <w:szCs w:val="26"/>
        </w:rPr>
        <w:t>«</w:t>
      </w:r>
      <w:r w:rsidRPr="00076E12">
        <w:rPr>
          <w:sz w:val="26"/>
          <w:szCs w:val="26"/>
        </w:rPr>
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- Югре"</w:t>
      </w:r>
      <w:r w:rsidR="003068EE" w:rsidRPr="00076E12">
        <w:rPr>
          <w:sz w:val="26"/>
          <w:szCs w:val="26"/>
        </w:rPr>
        <w:t xml:space="preserve"> (далее - Закон ХМАО – Югры от 28.12.2007             № 201-оз); </w:t>
      </w:r>
    </w:p>
    <w:p w:rsidR="003068EE" w:rsidRPr="002137D1" w:rsidRDefault="003068EE" w:rsidP="003068EE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E0219D">
        <w:rPr>
          <w:sz w:val="26"/>
          <w:szCs w:val="26"/>
        </w:rPr>
        <w:t>Закон Ханты-</w:t>
      </w:r>
      <w:r w:rsidRPr="002137D1">
        <w:rPr>
          <w:sz w:val="26"/>
          <w:szCs w:val="26"/>
        </w:rPr>
        <w:t>Мансийского автономного округ</w:t>
      </w:r>
      <w:r>
        <w:rPr>
          <w:sz w:val="26"/>
          <w:szCs w:val="26"/>
        </w:rPr>
        <w:t xml:space="preserve">а – Югры от 20.07.2007 </w:t>
      </w:r>
      <w:r w:rsidRPr="002137D1">
        <w:rPr>
          <w:sz w:val="26"/>
          <w:szCs w:val="26"/>
        </w:rPr>
        <w:t xml:space="preserve">№ 113-оз «Об отдельных вопросах муниципальной службы в Ханты-Мансийском автономном округе – Югре» (далее – Закон от 20.07.2007 № 113-оз); </w:t>
      </w:r>
    </w:p>
    <w:p w:rsidR="003068EE" w:rsidRDefault="003068EE" w:rsidP="003068EE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7F6393">
        <w:rPr>
          <w:sz w:val="26"/>
          <w:szCs w:val="26"/>
        </w:rPr>
        <w:t xml:space="preserve">Закон ХМАО - Югры от 09.12.2004 № 76-оз «О гарантиях и компенсациях для лиц, проживающих в Ханты-Мансийском автономном округе - Югре, работающих в государственных органах и государственных учреждениях Ханты-Мансийского автономного округа - Югры, территориальном фонде обязательного медицинского страхования Ханты-Мансийского автономного округа – Югры» (далее - Закон ХМАО - Югры от 09.12.2004 № 76-оз); </w:t>
      </w:r>
    </w:p>
    <w:p w:rsidR="00076E12" w:rsidRPr="00076E12" w:rsidRDefault="008621FC" w:rsidP="008F3B9F">
      <w:pPr>
        <w:pStyle w:val="ConsPlusNormal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hyperlink r:id="rId8" w:history="1">
        <w:r w:rsidR="00076E12" w:rsidRPr="002137D1">
          <w:rPr>
            <w:sz w:val="26"/>
            <w:szCs w:val="26"/>
          </w:rPr>
          <w:t xml:space="preserve">Постановление Правительства ХМАО - Югры от 26.03.2004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 - Югры и должности государственной гражданской службы Ханты-Мансийского автономного округа - Югры, ежемесячного пожизненного денежного содержания лицу, замещавшему должность </w:t>
        </w:r>
        <w:r w:rsidR="00076E12" w:rsidRPr="002137D1">
          <w:rPr>
            <w:sz w:val="26"/>
            <w:szCs w:val="26"/>
          </w:rPr>
          <w:lastRenderedPageBreak/>
          <w:t xml:space="preserve">Губернатора Ханты-Мансийского автономного округа – Югры»  </w:t>
        </w:r>
      </w:hyperlink>
      <w:r w:rsidR="00076E12" w:rsidRPr="002137D1">
        <w:rPr>
          <w:sz w:val="26"/>
          <w:szCs w:val="26"/>
        </w:rPr>
        <w:t xml:space="preserve">(далее - </w:t>
      </w:r>
      <w:r w:rsidR="00076E12">
        <w:rPr>
          <w:sz w:val="26"/>
          <w:szCs w:val="26"/>
        </w:rPr>
        <w:t>п</w:t>
      </w:r>
      <w:r w:rsidR="00076E12" w:rsidRPr="002137D1">
        <w:rPr>
          <w:sz w:val="26"/>
          <w:szCs w:val="26"/>
        </w:rPr>
        <w:t>остановление Правительства</w:t>
      </w:r>
      <w:r w:rsidR="00076E12" w:rsidRPr="000F0E06">
        <w:rPr>
          <w:sz w:val="26"/>
          <w:szCs w:val="26"/>
        </w:rPr>
        <w:t xml:space="preserve"> ХМАО - Югры от 26.03.2004 </w:t>
      </w:r>
      <w:r w:rsidR="00076E12">
        <w:rPr>
          <w:sz w:val="26"/>
          <w:szCs w:val="26"/>
        </w:rPr>
        <w:t xml:space="preserve"> </w:t>
      </w:r>
      <w:r w:rsidR="00076E12" w:rsidRPr="000F0E06">
        <w:rPr>
          <w:sz w:val="26"/>
          <w:szCs w:val="26"/>
        </w:rPr>
        <w:t xml:space="preserve">№ 113-п); </w:t>
      </w:r>
    </w:p>
    <w:p w:rsidR="003068EE" w:rsidRPr="000F0E06" w:rsidRDefault="003068EE" w:rsidP="003068EE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Устав города Пыть-Яха</w:t>
      </w:r>
      <w:r w:rsidR="00F16363">
        <w:rPr>
          <w:sz w:val="26"/>
          <w:szCs w:val="26"/>
        </w:rPr>
        <w:t xml:space="preserve"> (далее – Устав)</w:t>
      </w:r>
      <w:r>
        <w:rPr>
          <w:sz w:val="26"/>
          <w:szCs w:val="26"/>
        </w:rPr>
        <w:t>.</w:t>
      </w:r>
    </w:p>
    <w:p w:rsidR="003068EE" w:rsidRPr="00D937C5" w:rsidRDefault="003068EE" w:rsidP="003068EE">
      <w:pPr>
        <w:pStyle w:val="a3"/>
        <w:tabs>
          <w:tab w:val="left" w:pos="851"/>
        </w:tabs>
        <w:ind w:left="567"/>
        <w:jc w:val="both"/>
        <w:rPr>
          <w:sz w:val="16"/>
          <w:szCs w:val="16"/>
        </w:rPr>
      </w:pPr>
    </w:p>
    <w:p w:rsidR="0050021C" w:rsidRDefault="003068EE" w:rsidP="003068E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0F0E06">
        <w:rPr>
          <w:sz w:val="26"/>
          <w:szCs w:val="26"/>
        </w:rPr>
        <w:t>анный проект решения поступил</w:t>
      </w:r>
      <w:r w:rsidRPr="007360BA">
        <w:rPr>
          <w:sz w:val="26"/>
          <w:szCs w:val="26"/>
        </w:rPr>
        <w:t xml:space="preserve"> </w:t>
      </w:r>
      <w:r w:rsidRPr="000F0E06">
        <w:rPr>
          <w:sz w:val="26"/>
          <w:szCs w:val="26"/>
        </w:rPr>
        <w:t xml:space="preserve">в Счетно-контрольную палату города </w:t>
      </w:r>
      <w:r>
        <w:rPr>
          <w:sz w:val="26"/>
          <w:szCs w:val="26"/>
        </w:rPr>
        <w:t>Пыть</w:t>
      </w:r>
      <w:r w:rsidRPr="000F0E06">
        <w:rPr>
          <w:sz w:val="26"/>
          <w:szCs w:val="26"/>
        </w:rPr>
        <w:t xml:space="preserve">-Яха </w:t>
      </w:r>
      <w:r w:rsidR="00F16363">
        <w:rPr>
          <w:sz w:val="26"/>
          <w:szCs w:val="26"/>
        </w:rPr>
        <w:t>13.12.2021</w:t>
      </w:r>
      <w:r w:rsidRPr="000F0E06">
        <w:rPr>
          <w:sz w:val="26"/>
          <w:szCs w:val="26"/>
        </w:rPr>
        <w:t>, разработчик проекта – Администрация города</w:t>
      </w:r>
      <w:r>
        <w:rPr>
          <w:sz w:val="26"/>
          <w:szCs w:val="26"/>
        </w:rPr>
        <w:t xml:space="preserve"> Пыть-Яха</w:t>
      </w:r>
      <w:r w:rsidRPr="000F0E06">
        <w:rPr>
          <w:sz w:val="26"/>
          <w:szCs w:val="26"/>
        </w:rPr>
        <w:t xml:space="preserve">. С проектом решения представлены пояснительная записка </w:t>
      </w:r>
      <w:r w:rsidRPr="000F0E06">
        <w:rPr>
          <w:bCs/>
          <w:sz w:val="26"/>
          <w:szCs w:val="26"/>
        </w:rPr>
        <w:t>и финансово-экономическое обоснование.</w:t>
      </w:r>
      <w:r w:rsidRPr="000F0E06">
        <w:rPr>
          <w:sz w:val="26"/>
          <w:szCs w:val="26"/>
        </w:rPr>
        <w:t xml:space="preserve"> </w:t>
      </w:r>
    </w:p>
    <w:p w:rsidR="003068EE" w:rsidRDefault="003068EE" w:rsidP="003068EE">
      <w:pPr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3068EE" w:rsidRPr="00A636A2" w:rsidRDefault="003068EE" w:rsidP="003068EE">
      <w:pPr>
        <w:ind w:firstLine="709"/>
        <w:jc w:val="both"/>
        <w:rPr>
          <w:sz w:val="12"/>
          <w:szCs w:val="12"/>
        </w:rPr>
      </w:pPr>
    </w:p>
    <w:p w:rsidR="003068EE" w:rsidRDefault="003068EE" w:rsidP="003068EE">
      <w:pPr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 xml:space="preserve">В ходе экспертизы установлено следующее: </w:t>
      </w:r>
    </w:p>
    <w:p w:rsidR="003068EE" w:rsidRDefault="003068EE" w:rsidP="003068E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ч. 4 ст. 7 Федерального</w:t>
      </w:r>
      <w:r w:rsidRPr="00546514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 от 15.12.2001</w:t>
      </w:r>
      <w:r w:rsidRPr="00546514">
        <w:rPr>
          <w:sz w:val="26"/>
          <w:szCs w:val="26"/>
        </w:rPr>
        <w:t xml:space="preserve"> № 166-ФЗ </w:t>
      </w:r>
      <w:r>
        <w:rPr>
          <w:sz w:val="26"/>
          <w:szCs w:val="26"/>
        </w:rPr>
        <w:t>условия предоставления права на пенсию муниципальным служащим за счет средств местных бюджетов определяются нормативными правовыми актами органов местного самоуправления.</w:t>
      </w:r>
    </w:p>
    <w:p w:rsidR="003068EE" w:rsidRDefault="003068EE" w:rsidP="003068E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ч. 5.1 ст. 40 </w:t>
      </w:r>
      <w:r w:rsidRPr="000F0E06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0F0E06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0F0E06">
        <w:rPr>
          <w:sz w:val="26"/>
          <w:szCs w:val="26"/>
        </w:rPr>
        <w:t xml:space="preserve"> от 06.10.2003 № 131-ФЗ</w:t>
      </w:r>
      <w:r>
        <w:rPr>
          <w:sz w:val="26"/>
          <w:szCs w:val="26"/>
        </w:rPr>
        <w:t xml:space="preserve"> гарантии осуществления полномочий депутата, члена выборного органа местного самоуправления,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Федерации.</w:t>
      </w:r>
    </w:p>
    <w:p w:rsidR="00AD1F3B" w:rsidRDefault="00AD1F3B" w:rsidP="00AD1F3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ч. 1 ст. 6 </w:t>
      </w:r>
      <w:r w:rsidRPr="000F0E06">
        <w:rPr>
          <w:sz w:val="26"/>
          <w:szCs w:val="26"/>
        </w:rPr>
        <w:t>Закон</w:t>
      </w:r>
      <w:r>
        <w:rPr>
          <w:sz w:val="26"/>
          <w:szCs w:val="26"/>
        </w:rPr>
        <w:t>а</w:t>
      </w:r>
      <w:r w:rsidRPr="000F0E06">
        <w:rPr>
          <w:sz w:val="26"/>
          <w:szCs w:val="26"/>
        </w:rPr>
        <w:t xml:space="preserve"> ХМАО – Югры от 28.12.2007 № 201-оз</w:t>
      </w:r>
      <w:r>
        <w:rPr>
          <w:sz w:val="26"/>
          <w:szCs w:val="26"/>
        </w:rPr>
        <w:t xml:space="preserve"> лицу, замещавшему муниципальную должность на постоянной основе, за счет средств бюджета муниципального образования могут быть установлены дополнительные пенсии за выслугу лет в соответствии с уставом муниципального образования и муниципальными правовыми актами органов местного самоуправления.</w:t>
      </w:r>
    </w:p>
    <w:p w:rsidR="003068EE" w:rsidRDefault="00AD1F3B" w:rsidP="00BD00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 Уставом города Пыть-Ях установлены гарантии за счет средств местного бюджета главе города и депутатам Думы города, осуществляющим свои полномочия на постоянной основе, в виде дополнительного пенсионного обеспечения за выслугу лет (пп.</w:t>
      </w:r>
      <w:r w:rsidRPr="00234824">
        <w:rPr>
          <w:sz w:val="26"/>
          <w:szCs w:val="26"/>
        </w:rPr>
        <w:t xml:space="preserve"> </w:t>
      </w:r>
      <w:r>
        <w:rPr>
          <w:sz w:val="26"/>
          <w:szCs w:val="26"/>
        </w:rPr>
        <w:t>6 п.1 ст. 24.1 и пп.6 п.1 ст.21.1 Устава г. Пыть-Ях). Порядок и размер предоставления гарантий устанавливаются решениями Думы города.</w:t>
      </w:r>
    </w:p>
    <w:p w:rsidR="006E5ECA" w:rsidRPr="006E5ECA" w:rsidRDefault="006E5ECA" w:rsidP="006E5EC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6E5ECA" w:rsidRPr="006E5ECA" w:rsidRDefault="006E5ECA" w:rsidP="006E5E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5ECA">
        <w:rPr>
          <w:sz w:val="26"/>
          <w:szCs w:val="26"/>
        </w:rPr>
        <w:t xml:space="preserve">Из финансово-экономического обоснования следует, что реализация данного проекта решения не влечет за собой дополнительных расходов из бюджета города Пыть-Яха, финансирование мероприятий будет осуществляться за счет бюджетных ассигнований, предусмотренных по муниципальной программе «Социальное и демографическое развитие города Пыть-Яха». </w:t>
      </w:r>
    </w:p>
    <w:p w:rsidR="006E5ECA" w:rsidRDefault="006E5ECA" w:rsidP="006E5EC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5ECA">
        <w:rPr>
          <w:sz w:val="26"/>
          <w:szCs w:val="26"/>
        </w:rPr>
        <w:t>В результате оценки представленного проекта решения замечания финансово-экономического характера отсутствуют.</w:t>
      </w:r>
    </w:p>
    <w:p w:rsidR="00BD0008" w:rsidRPr="00D937C5" w:rsidRDefault="00BD0008" w:rsidP="00BD0008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AB2611" w:rsidRDefault="00AB2611" w:rsidP="003068EE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>К проекту решения имеется замечание и предложение:</w:t>
      </w:r>
    </w:p>
    <w:p w:rsidR="00BD0008" w:rsidRDefault="00BC1ECC" w:rsidP="003068EE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  <w:t xml:space="preserve">С целью исключения противоречий, излагаемых в новой редакции пп. 2 п. 2.4 и </w:t>
      </w:r>
      <w:r w:rsidR="007D61AC">
        <w:rPr>
          <w:bCs/>
          <w:color w:val="000000"/>
          <w:sz w:val="26"/>
          <w:szCs w:val="26"/>
        </w:rPr>
        <w:t xml:space="preserve">           </w:t>
      </w:r>
      <w:r>
        <w:rPr>
          <w:bCs/>
          <w:color w:val="000000"/>
          <w:sz w:val="26"/>
          <w:szCs w:val="26"/>
        </w:rPr>
        <w:t>пп. 2 п. 3.1</w:t>
      </w:r>
      <w:r w:rsidR="00E33F16">
        <w:rPr>
          <w:bCs/>
          <w:color w:val="000000"/>
          <w:sz w:val="26"/>
          <w:szCs w:val="26"/>
        </w:rPr>
        <w:t xml:space="preserve"> Приложения № 1</w:t>
      </w:r>
      <w:r>
        <w:rPr>
          <w:bCs/>
          <w:color w:val="000000"/>
          <w:sz w:val="26"/>
          <w:szCs w:val="26"/>
        </w:rPr>
        <w:t xml:space="preserve">, предлагаем п. 1.3.3.3 подраздела 1.3 раздела 1 проекта решения изложить в следующей редакции: «1.3.3.3. Подпункт 2 пункта 2.4 изложить в следующей редакции: «2) для лица, замещавшего муниципальную должность, не может быть меньше продолжительности одного срока, установленного Уставом города Пыть-Яха </w:t>
      </w:r>
      <w:r w:rsidRPr="00BC1ECC">
        <w:rPr>
          <w:bCs/>
          <w:color w:val="000000"/>
          <w:sz w:val="26"/>
          <w:szCs w:val="26"/>
        </w:rPr>
        <w:t xml:space="preserve">для исполнения полномочий по замещаемой муниципальной должности и стажа </w:t>
      </w:r>
      <w:r w:rsidR="0076737A" w:rsidRPr="0076737A">
        <w:rPr>
          <w:bCs/>
          <w:color w:val="000000"/>
          <w:sz w:val="26"/>
          <w:szCs w:val="26"/>
        </w:rPr>
        <w:t>муниципальной службы в размере не менее 15 лет, в том числе в органах местного самоуправления города Пыть-Яха не менее 10 лет</w:t>
      </w:r>
      <w:r w:rsidR="00690710">
        <w:rPr>
          <w:bCs/>
          <w:color w:val="000000"/>
          <w:sz w:val="26"/>
          <w:szCs w:val="26"/>
        </w:rPr>
        <w:t>,</w:t>
      </w:r>
      <w:r w:rsidRPr="00BC1ECC">
        <w:rPr>
          <w:bCs/>
          <w:color w:val="000000"/>
          <w:sz w:val="26"/>
          <w:szCs w:val="26"/>
        </w:rPr>
        <w:t xml:space="preserve"> либо исполнение полномочий по </w:t>
      </w:r>
      <w:r w:rsidRPr="00BC1ECC">
        <w:rPr>
          <w:bCs/>
          <w:color w:val="000000"/>
          <w:sz w:val="26"/>
          <w:szCs w:val="26"/>
        </w:rPr>
        <w:lastRenderedPageBreak/>
        <w:t>замещаемой муниципальной должности в течение двух сроков, предусмотренных Уставом города Пыть-Яха для замещения муниципальной должности, подряд или суммарно.</w:t>
      </w:r>
      <w:r>
        <w:rPr>
          <w:bCs/>
          <w:color w:val="000000"/>
          <w:sz w:val="26"/>
          <w:szCs w:val="26"/>
        </w:rPr>
        <w:t>».</w:t>
      </w:r>
    </w:p>
    <w:p w:rsidR="00455D69" w:rsidRDefault="00455D69" w:rsidP="003068EE">
      <w:pPr>
        <w:jc w:val="both"/>
        <w:rPr>
          <w:bCs/>
          <w:color w:val="000000"/>
          <w:sz w:val="26"/>
          <w:szCs w:val="26"/>
        </w:rPr>
      </w:pPr>
    </w:p>
    <w:p w:rsidR="00D937C5" w:rsidRPr="00D937C5" w:rsidRDefault="00D937C5" w:rsidP="00D937C5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D937C5">
        <w:rPr>
          <w:bCs/>
          <w:color w:val="000000"/>
          <w:sz w:val="26"/>
          <w:szCs w:val="26"/>
        </w:rPr>
        <w:t>Счётно-контрольная палата рекомендует Думе города к рассмотрению проект решения Думы города Пыть-Яха 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</w:t>
      </w:r>
      <w:r>
        <w:rPr>
          <w:bCs/>
          <w:color w:val="000000"/>
          <w:sz w:val="26"/>
          <w:szCs w:val="26"/>
        </w:rPr>
        <w:t xml:space="preserve"> </w:t>
      </w:r>
      <w:r w:rsidRPr="00D937C5">
        <w:rPr>
          <w:bCs/>
          <w:color w:val="000000"/>
          <w:sz w:val="26"/>
          <w:szCs w:val="26"/>
        </w:rPr>
        <w:t>(в ред. от 16.12.2016 № 47, от 29.06.2018 № 174, от 26.12.2019 № 297)</w:t>
      </w:r>
      <w:r>
        <w:rPr>
          <w:bCs/>
          <w:color w:val="000000"/>
          <w:sz w:val="26"/>
          <w:szCs w:val="26"/>
        </w:rPr>
        <w:t xml:space="preserve"> с учетом замечания и предложения. </w:t>
      </w:r>
    </w:p>
    <w:p w:rsidR="00AB2611" w:rsidRDefault="00AB2611" w:rsidP="003068EE">
      <w:pPr>
        <w:jc w:val="both"/>
        <w:rPr>
          <w:bCs/>
          <w:color w:val="000000"/>
          <w:sz w:val="26"/>
          <w:szCs w:val="26"/>
        </w:rPr>
      </w:pPr>
    </w:p>
    <w:p w:rsidR="003068EE" w:rsidRPr="00EB71B0" w:rsidRDefault="003068EE" w:rsidP="003068EE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068EE" w:rsidRPr="00EB71B0" w:rsidRDefault="003068EE" w:rsidP="003068EE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Инспектор </w:t>
      </w:r>
    </w:p>
    <w:p w:rsidR="003068EE" w:rsidRPr="00EB71B0" w:rsidRDefault="003068EE" w:rsidP="003068EE">
      <w:pPr>
        <w:tabs>
          <w:tab w:val="left" w:pos="567"/>
        </w:tabs>
        <w:jc w:val="both"/>
        <w:rPr>
          <w:sz w:val="26"/>
          <w:szCs w:val="26"/>
        </w:rPr>
      </w:pPr>
      <w:r w:rsidRPr="00EB71B0">
        <w:rPr>
          <w:sz w:val="26"/>
          <w:szCs w:val="26"/>
        </w:rPr>
        <w:t>Счетно-контрольной палаты</w:t>
      </w:r>
    </w:p>
    <w:p w:rsidR="003068EE" w:rsidRPr="00EB71B0" w:rsidRDefault="003068EE" w:rsidP="003068EE">
      <w:pPr>
        <w:tabs>
          <w:tab w:val="left" w:pos="567"/>
        </w:tabs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EB71B0">
        <w:rPr>
          <w:sz w:val="26"/>
          <w:szCs w:val="26"/>
        </w:rPr>
        <w:t>Г.Ф. Урубкова</w:t>
      </w:r>
    </w:p>
    <w:p w:rsidR="003068EE" w:rsidRPr="00EB71B0" w:rsidRDefault="003068EE" w:rsidP="003068EE">
      <w:pPr>
        <w:jc w:val="both"/>
        <w:rPr>
          <w:sz w:val="26"/>
          <w:szCs w:val="26"/>
        </w:rPr>
      </w:pPr>
    </w:p>
    <w:p w:rsidR="003068EE" w:rsidRPr="00EB71B0" w:rsidRDefault="003068EE" w:rsidP="003068EE">
      <w:pPr>
        <w:rPr>
          <w:sz w:val="26"/>
          <w:szCs w:val="26"/>
        </w:rPr>
      </w:pPr>
    </w:p>
    <w:p w:rsidR="003068EE" w:rsidRDefault="003068EE" w:rsidP="003068EE"/>
    <w:p w:rsidR="003068EE" w:rsidRDefault="003068EE" w:rsidP="003068EE"/>
    <w:p w:rsidR="003068EE" w:rsidRDefault="003068EE" w:rsidP="003068EE"/>
    <w:p w:rsidR="003068EE" w:rsidRDefault="003068EE" w:rsidP="003068EE"/>
    <w:p w:rsidR="003068EE" w:rsidRDefault="003068EE" w:rsidP="003068EE"/>
    <w:p w:rsidR="003068EE" w:rsidRDefault="003068EE" w:rsidP="003068EE"/>
    <w:p w:rsidR="003068EE" w:rsidRDefault="003068EE" w:rsidP="003068EE"/>
    <w:p w:rsidR="003068EE" w:rsidRDefault="003068EE" w:rsidP="003068EE"/>
    <w:p w:rsidR="003068EE" w:rsidRDefault="003068EE" w:rsidP="003068EE"/>
    <w:p w:rsidR="003068EE" w:rsidRDefault="003068EE" w:rsidP="003068EE"/>
    <w:p w:rsidR="003068EE" w:rsidRDefault="003068EE" w:rsidP="003068EE"/>
    <w:p w:rsidR="00180421" w:rsidRDefault="00180421"/>
    <w:sectPr w:rsidR="00180421" w:rsidSect="00690710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1FC" w:rsidRDefault="008621FC" w:rsidP="00D15E3E">
      <w:r>
        <w:separator/>
      </w:r>
    </w:p>
  </w:endnote>
  <w:endnote w:type="continuationSeparator" w:id="0">
    <w:p w:rsidR="008621FC" w:rsidRDefault="008621FC" w:rsidP="00D15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35" w:rsidRDefault="008621FC">
    <w:pPr>
      <w:pStyle w:val="a4"/>
      <w:jc w:val="right"/>
    </w:pPr>
  </w:p>
  <w:p w:rsidR="00A33335" w:rsidRDefault="008621F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1FC" w:rsidRDefault="008621FC" w:rsidP="00D15E3E">
      <w:r>
        <w:separator/>
      </w:r>
    </w:p>
  </w:footnote>
  <w:footnote w:type="continuationSeparator" w:id="0">
    <w:p w:rsidR="008621FC" w:rsidRDefault="008621FC" w:rsidP="00D15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5A0" w:rsidRDefault="008621FC">
    <w:pPr>
      <w:pStyle w:val="a7"/>
      <w:jc w:val="center"/>
    </w:pPr>
  </w:p>
  <w:p w:rsidR="009155A0" w:rsidRDefault="008621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D9E0FB7"/>
    <w:multiLevelType w:val="hybridMultilevel"/>
    <w:tmpl w:val="65AC0E70"/>
    <w:lvl w:ilvl="0" w:tplc="37EE079C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C3947"/>
    <w:multiLevelType w:val="hybridMultilevel"/>
    <w:tmpl w:val="28E40F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E2C2D"/>
    <w:multiLevelType w:val="hybridMultilevel"/>
    <w:tmpl w:val="E2A2E426"/>
    <w:lvl w:ilvl="0" w:tplc="BEA8DD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8EE"/>
    <w:rsid w:val="00076E12"/>
    <w:rsid w:val="000D5275"/>
    <w:rsid w:val="00180421"/>
    <w:rsid w:val="002D70A9"/>
    <w:rsid w:val="002D7F7D"/>
    <w:rsid w:val="003068EE"/>
    <w:rsid w:val="00455D69"/>
    <w:rsid w:val="0050021C"/>
    <w:rsid w:val="00585DDA"/>
    <w:rsid w:val="005F13C5"/>
    <w:rsid w:val="00601476"/>
    <w:rsid w:val="00690710"/>
    <w:rsid w:val="006E5ECA"/>
    <w:rsid w:val="0076737A"/>
    <w:rsid w:val="00790497"/>
    <w:rsid w:val="007D61AC"/>
    <w:rsid w:val="00826D5F"/>
    <w:rsid w:val="008621FC"/>
    <w:rsid w:val="008F3B9F"/>
    <w:rsid w:val="00920C11"/>
    <w:rsid w:val="009D1EA6"/>
    <w:rsid w:val="00AB2611"/>
    <w:rsid w:val="00AC7B51"/>
    <w:rsid w:val="00AD1F3B"/>
    <w:rsid w:val="00B3325D"/>
    <w:rsid w:val="00BC1ECC"/>
    <w:rsid w:val="00BD0008"/>
    <w:rsid w:val="00BD2DA4"/>
    <w:rsid w:val="00D15E3E"/>
    <w:rsid w:val="00D937C5"/>
    <w:rsid w:val="00E33F16"/>
    <w:rsid w:val="00E86142"/>
    <w:rsid w:val="00EA21ED"/>
    <w:rsid w:val="00F1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AA5C91-0B33-4B37-B62C-5EAAE2F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8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8EE"/>
    <w:pPr>
      <w:ind w:left="720"/>
      <w:contextualSpacing/>
    </w:pPr>
  </w:style>
  <w:style w:type="paragraph" w:styleId="a4">
    <w:name w:val="footer"/>
    <w:basedOn w:val="a"/>
    <w:link w:val="a5"/>
    <w:uiPriority w:val="99"/>
    <w:rsid w:val="003068E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068EE"/>
    <w:rPr>
      <w:sz w:val="24"/>
      <w:szCs w:val="24"/>
    </w:rPr>
  </w:style>
  <w:style w:type="paragraph" w:customStyle="1" w:styleId="ConsPlusNormal">
    <w:name w:val="ConsPlusNormal"/>
    <w:rsid w:val="003068EE"/>
    <w:pPr>
      <w:widowControl w:val="0"/>
      <w:autoSpaceDE w:val="0"/>
      <w:autoSpaceDN w:val="0"/>
    </w:pPr>
    <w:rPr>
      <w:sz w:val="24"/>
    </w:rPr>
  </w:style>
  <w:style w:type="table" w:styleId="a6">
    <w:name w:val="Table Grid"/>
    <w:basedOn w:val="a1"/>
    <w:rsid w:val="00306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068EE"/>
    <w:rPr>
      <w:sz w:val="28"/>
    </w:rPr>
  </w:style>
  <w:style w:type="character" w:customStyle="1" w:styleId="20">
    <w:name w:val="Основной текст 2 Знак"/>
    <w:basedOn w:val="a0"/>
    <w:link w:val="2"/>
    <w:rsid w:val="003068EE"/>
    <w:rPr>
      <w:sz w:val="28"/>
      <w:szCs w:val="24"/>
    </w:rPr>
  </w:style>
  <w:style w:type="paragraph" w:styleId="a7">
    <w:name w:val="header"/>
    <w:basedOn w:val="a"/>
    <w:link w:val="a8"/>
    <w:uiPriority w:val="99"/>
    <w:rsid w:val="003068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68EE"/>
    <w:rPr>
      <w:sz w:val="24"/>
      <w:szCs w:val="24"/>
    </w:rPr>
  </w:style>
  <w:style w:type="paragraph" w:styleId="a9">
    <w:name w:val="Body Text"/>
    <w:basedOn w:val="a"/>
    <w:link w:val="aa"/>
    <w:rsid w:val="00AC7B51"/>
    <w:pPr>
      <w:spacing w:after="120"/>
    </w:pPr>
  </w:style>
  <w:style w:type="character" w:customStyle="1" w:styleId="aa">
    <w:name w:val="Основной текст Знак"/>
    <w:basedOn w:val="a0"/>
    <w:link w:val="a9"/>
    <w:rsid w:val="00AC7B51"/>
    <w:rPr>
      <w:sz w:val="24"/>
      <w:szCs w:val="24"/>
    </w:rPr>
  </w:style>
  <w:style w:type="character" w:styleId="ab">
    <w:name w:val="Hyperlink"/>
    <w:basedOn w:val="a0"/>
    <w:rsid w:val="00AC7B51"/>
    <w:rPr>
      <w:color w:val="0563C1" w:themeColor="hyperlink"/>
      <w:u w:val="single"/>
    </w:rPr>
  </w:style>
  <w:style w:type="paragraph" w:styleId="ac">
    <w:name w:val="Balloon Text"/>
    <w:basedOn w:val="a"/>
    <w:link w:val="ad"/>
    <w:rsid w:val="005F13C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5F13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571C2067DBC9E755E4C95651A7290C65240113FBF58A12DF083C79E201846A5475C0197709EBEAFD1AA38D1s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6714AB38719E8CBE72E813EE34969AEA501BB0A67C7E465587A47A6B6054CD901626E30A3957F1NAu4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2021-12-20T09:28:00Z</cp:lastPrinted>
  <dcterms:created xsi:type="dcterms:W3CDTF">2021-12-16T09:42:00Z</dcterms:created>
  <dcterms:modified xsi:type="dcterms:W3CDTF">2021-12-20T10:31:00Z</dcterms:modified>
</cp:coreProperties>
</file>